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2C" w:rsidRPr="00332050" w:rsidRDefault="00244D2C" w:rsidP="00244D2C">
      <w:pPr>
        <w:rPr>
          <w:b/>
          <w:bCs/>
        </w:rPr>
      </w:pPr>
      <w:r w:rsidRPr="00332050">
        <w:rPr>
          <w:b/>
          <w:bCs/>
        </w:rPr>
        <w:t xml:space="preserve">Příloha č. 1 </w:t>
      </w:r>
      <w:proofErr w:type="gramStart"/>
      <w:r w:rsidRPr="00332050">
        <w:rPr>
          <w:b/>
          <w:bCs/>
        </w:rPr>
        <w:t>ZD  -</w:t>
      </w:r>
      <w:proofErr w:type="gramEnd"/>
      <w:r w:rsidRPr="00332050">
        <w:rPr>
          <w:b/>
          <w:bCs/>
        </w:rPr>
        <w:t xml:space="preserve"> Technické podmínky</w:t>
      </w:r>
    </w:p>
    <w:p w:rsidR="00244D2C" w:rsidRDefault="00244D2C" w:rsidP="00244D2C">
      <w:pPr>
        <w:pStyle w:val="Odstavecseseznamem"/>
        <w:jc w:val="center"/>
        <w:rPr>
          <w:b/>
          <w:bCs/>
          <w:sz w:val="28"/>
          <w:szCs w:val="28"/>
          <w:u w:val="single"/>
        </w:rPr>
      </w:pPr>
    </w:p>
    <w:p w:rsidR="00244D2C" w:rsidRPr="00332050" w:rsidRDefault="00244D2C" w:rsidP="00244D2C">
      <w:pPr>
        <w:pStyle w:val="Odstavecseseznamem"/>
        <w:jc w:val="center"/>
        <w:rPr>
          <w:b/>
          <w:bCs/>
          <w:sz w:val="28"/>
          <w:szCs w:val="28"/>
          <w:u w:val="single"/>
        </w:rPr>
      </w:pPr>
      <w:r w:rsidRPr="00332050">
        <w:rPr>
          <w:b/>
          <w:bCs/>
          <w:sz w:val="28"/>
          <w:szCs w:val="28"/>
          <w:u w:val="single"/>
        </w:rPr>
        <w:t>ROZSAH PRACÍ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Zpracováním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g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e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nerelu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dopravy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bude vytvoře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n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 ucele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n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á</w:t>
      </w:r>
      <w:r w:rsidRPr="00332050">
        <w:rPr>
          <w:rFonts w:eastAsia="Times New Roman" w:cstheme="minorHAnsi"/>
          <w:color w:val="000000"/>
          <w:spacing w:val="76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analý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z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76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jednotlivých</w:t>
      </w:r>
      <w:r w:rsidRPr="00332050">
        <w:rPr>
          <w:rFonts w:eastAsia="Times New Roman" w:cstheme="minorHAnsi"/>
          <w:color w:val="000000"/>
          <w:spacing w:val="7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dopravních</w:t>
      </w:r>
      <w:r w:rsidRPr="00332050">
        <w:rPr>
          <w:rFonts w:eastAsia="Times New Roman" w:cstheme="minorHAnsi"/>
          <w:color w:val="000000"/>
          <w:spacing w:val="76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systémů</w:t>
      </w:r>
      <w:r w:rsidRPr="00332050">
        <w:rPr>
          <w:rFonts w:eastAsia="Times New Roman" w:cstheme="minorHAnsi"/>
          <w:color w:val="000000"/>
          <w:spacing w:val="76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území</w:t>
      </w:r>
      <w:r w:rsidRPr="00332050">
        <w:rPr>
          <w:rFonts w:eastAsia="Times New Roman" w:cstheme="minorHAnsi"/>
          <w:color w:val="000000"/>
          <w:spacing w:val="76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7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analýza jejich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vzájemného působení na sebe.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Zadavatel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bude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tuto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problematiku řešit pomocí navržených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krátkodobých,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střednědo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bých a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dlouhodobých opatření.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Úkolem generelu dopravy je provést analýzu stávajícího stavu a navrhnout odpovídající rozvoj dopravy na území města.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Generel dopravy musí respektovat platný územní plán a zároveň prověřit, zda je koncepce dopravy navržena moderně a reaguje na možná dopravní opatření a Smart opatření ve všech směrech, včetně trasy navrženého městského okruhu.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sz w:val="24"/>
          <w:szCs w:val="24"/>
          <w:lang w:eastAsia="cs-CZ"/>
        </w:rPr>
      </w:pPr>
      <w:r w:rsidRPr="00332050">
        <w:rPr>
          <w:rFonts w:eastAsia="Times New Roman" w:cstheme="minorHAnsi"/>
          <w:sz w:val="24"/>
          <w:szCs w:val="24"/>
          <w:lang w:eastAsia="cs-CZ"/>
        </w:rPr>
        <w:t xml:space="preserve">Součástí prověření musí být i nově připravovaný RING PARK města, jako součást dopravní koncepce města včetně napojení na všechny druhy dopravy.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Po podrobném zdůvodnění a řádném projednání lze navrhnout řešení odchylné od platného územního plánu. V takovém případě bude po schválení Generelu dopravy navržena a projednána změna územního plánu.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Stejně tak bude po schválení Generelu dopravy dána do souladu s ním Strategie rozvoje města Žďáru nad Sázavou.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 hlediska budoucího rozvoje zadavatel usiluje o vzájemné propojení území města podél stávající silnice I/37. Záměrem města je snížit rozsah zbytné dopravy na náměstí Republiky a snížit tak zátěž na komunikaci I/37 v centru města.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44" w:lineRule="auto"/>
        <w:ind w:right="58"/>
        <w:jc w:val="both"/>
        <w:rPr>
          <w:rFonts w:eastAsia="Times New Roman" w:cstheme="minorHAnsi"/>
          <w:sz w:val="24"/>
          <w:szCs w:val="24"/>
          <w:lang w:eastAsia="cs-CZ"/>
        </w:rPr>
      </w:pPr>
      <w:r w:rsidRPr="00332050">
        <w:rPr>
          <w:rFonts w:eastAsia="Times New Roman" w:cstheme="minorHAnsi"/>
          <w:bCs/>
          <w:sz w:val="24"/>
          <w:szCs w:val="24"/>
          <w:lang w:eastAsia="cs-CZ"/>
        </w:rPr>
        <w:t xml:space="preserve">Zpracovatel zohlední zejména rozvoj městské hromadné dopravy ve vazbě na ostatní veřejnou hromadnou dopravu (např. přestupní terminály, přístupnost zastávek, aplikace telematiky, trasování </w:t>
      </w:r>
      <w:proofErr w:type="gramStart"/>
      <w:r w:rsidRPr="00332050">
        <w:rPr>
          <w:rFonts w:eastAsia="Times New Roman" w:cstheme="minorHAnsi"/>
          <w:bCs/>
          <w:sz w:val="24"/>
          <w:szCs w:val="24"/>
          <w:lang w:eastAsia="cs-CZ"/>
        </w:rPr>
        <w:t>linek,</w:t>
      </w:r>
      <w:proofErr w:type="gramEnd"/>
      <w:r w:rsidRPr="00332050">
        <w:rPr>
          <w:rFonts w:eastAsia="Times New Roman" w:cstheme="minorHAnsi"/>
          <w:bCs/>
          <w:sz w:val="24"/>
          <w:szCs w:val="24"/>
          <w:lang w:eastAsia="cs-CZ"/>
        </w:rPr>
        <w:t xml:space="preserve"> apod.), dále preferenci chodců a cyklistů a usnadnění mobility osob s omezenou schopností pohybu nebo orientace.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11" w:after="0" w:line="20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 širším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centru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města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se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bude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ve</w:t>
      </w:r>
      <w:r w:rsidRPr="00332050">
        <w:rPr>
          <w:rFonts w:eastAsia="Times New Roman" w:cstheme="minorHAnsi"/>
          <w:color w:val="000000"/>
          <w:spacing w:val="1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vztahu</w:t>
      </w:r>
      <w:r w:rsidRPr="00332050">
        <w:rPr>
          <w:rFonts w:eastAsia="Times New Roman" w:cstheme="minorHAnsi"/>
          <w:color w:val="000000"/>
          <w:spacing w:val="1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</w:t>
      </w:r>
      <w:r w:rsidRPr="00332050">
        <w:rPr>
          <w:rFonts w:eastAsia="Times New Roman" w:cstheme="minorHAnsi"/>
          <w:color w:val="000000"/>
          <w:spacing w:val="1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automobilové</w:t>
      </w:r>
      <w:r w:rsidRPr="00332050">
        <w:rPr>
          <w:rFonts w:eastAsia="Times New Roman" w:cstheme="minorHAnsi"/>
          <w:color w:val="000000"/>
          <w:spacing w:val="1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dopravě zpracovatel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Generelu dopravy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soustředit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na taková řeš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e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ní, která přinesou výrazné snížení intenzity automobilové dopravy v centru města a redistribuci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na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okolní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stávající, případně navrženou nadřazenou </w:t>
      </w:r>
      <w:r w:rsidRPr="00332050">
        <w:rPr>
          <w:rFonts w:eastAsia="Times New Roman" w:cstheme="minorHAnsi"/>
          <w:sz w:val="24"/>
          <w:szCs w:val="24"/>
          <w:lang w:eastAsia="cs-CZ"/>
        </w:rPr>
        <w:t>komunikační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>síť,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>za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>předpokladu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>reálných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>investičních</w:t>
      </w:r>
      <w:r w:rsidRPr="00332050">
        <w:rPr>
          <w:rFonts w:eastAsia="Times New Roman" w:cstheme="minorHAnsi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sz w:val="24"/>
          <w:szCs w:val="24"/>
          <w:lang w:eastAsia="cs-CZ"/>
        </w:rPr>
        <w:t xml:space="preserve">nákladů. Součástí širšího centra je také již zmiňovaný RING PARK v návaznostech na pěší i automobilovou dopravu.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8" w:after="0" w:line="22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Statická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doprava (dále též „doprava v klidu“) bude analyzována a podle mís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t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ních podmínek regulována. Základními nástroji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regulace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parkování bude organizace dopravy, zpoplatnění a časové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omezení.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20" w:after="0" w:line="24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44" w:lineRule="auto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Zadavatel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preferuj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e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řešení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,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kter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á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povedo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u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k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e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zvýšení podílu přepravní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práce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(</w:t>
      </w:r>
      <w:proofErr w:type="spellStart"/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>modal</w:t>
      </w:r>
      <w:proofErr w:type="spellEnd"/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split)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ve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prospěch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nemotorové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dopravy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b/>
          <w:bCs/>
          <w:color w:val="000000"/>
          <w:spacing w:val="2"/>
          <w:sz w:val="24"/>
          <w:szCs w:val="24"/>
          <w:lang w:eastAsia="cs-CZ"/>
        </w:rPr>
        <w:t xml:space="preserve"> městské/veřejné hromadné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dopravy.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11" w:after="0" w:line="20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Generel dopravy stanoví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podmínky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 dosažení základních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cílů:</w:t>
      </w:r>
    </w:p>
    <w:p w:rsidR="00F8138E" w:rsidRPr="00332050" w:rsidRDefault="00F8138E" w:rsidP="00244D2C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 xml:space="preserve">Zlepšení dopravní průjezdnosti a dostupnosti </w:t>
      </w:r>
      <w:proofErr w:type="gramStart"/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>města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- zle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p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šení</w:t>
      </w:r>
      <w:proofErr w:type="gramEnd"/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průjezdnosti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všechny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cílové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skupiny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obyvatel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včetně osob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se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sníženou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schopností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pohybu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nebo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orientace,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zlepšení dostupnosti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všechny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cíle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jejich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cest do zaměstnání,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do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škol, do center služeb nebo zdravotní péče,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pro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volný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čas,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a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podpora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proofErr w:type="spellStart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intermodality</w:t>
      </w:r>
      <w:proofErr w:type="spell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left="360"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>Zvýšení dopravní bezpečnosti a ochrany obyvatel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– rozšiřování cyklistické a pěší sítě </w:t>
      </w:r>
      <w:r w:rsidRPr="00332050">
        <w:rPr>
          <w:rFonts w:cstheme="minorHAnsi"/>
          <w:color w:val="000000"/>
          <w:sz w:val="24"/>
          <w:szCs w:val="24"/>
        </w:rPr>
        <w:t>včetně tras pro osoby s omezenou schopností pohybu nebo orientace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, snížení objemu tranzitní nákladní automobilové dopravy přes město, snížení podílu individuální automobilové dopravy v rámci </w:t>
      </w:r>
      <w:proofErr w:type="spellStart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modal</w:t>
      </w:r>
      <w:proofErr w:type="spell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splitu, odstranění úzkých či kritických míst dopravní sítě, snížení nehodovosti, zvýšení ochrany obyvatel před negativními vlivy a externalitami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lastRenderedPageBreak/>
        <w:t>automobilové dopravy;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F8138E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>Zvýšení účinnosti a efektivity přepravy osob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– zajištění podmínek pro intenzivnější využívání veřejné hromadné dopravy – zvýšení cestovní rychlosti a rozšíření nabídky, zkvalitnění informačního servisu, </w:t>
      </w:r>
      <w:r w:rsidRPr="00332050">
        <w:rPr>
          <w:rFonts w:cstheme="minorHAnsi"/>
          <w:color w:val="000000"/>
          <w:sz w:val="24"/>
          <w:szCs w:val="24"/>
        </w:rPr>
        <w:t>modernizace vozidlového parku, možnost zapojení do integrovaného dopravního systému (Veřejná doprava Vysočiny, Integrovaný dopravní systém Jihomoravského kraje);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cstheme="minorHAnsi"/>
          <w:b/>
          <w:color w:val="000000"/>
          <w:sz w:val="24"/>
          <w:szCs w:val="24"/>
          <w:highlight w:val="cyan"/>
        </w:rPr>
        <w:t xml:space="preserve">Zvýšení účinnosti a efektivity přepravy </w:t>
      </w:r>
      <w:proofErr w:type="gramStart"/>
      <w:r w:rsidRPr="00F8138E">
        <w:rPr>
          <w:rFonts w:cstheme="minorHAnsi"/>
          <w:b/>
          <w:color w:val="000000"/>
          <w:sz w:val="24"/>
          <w:szCs w:val="24"/>
          <w:highlight w:val="cyan"/>
        </w:rPr>
        <w:t>zboží</w:t>
      </w:r>
      <w:r w:rsidRPr="00332050">
        <w:rPr>
          <w:rFonts w:cstheme="minorHAnsi"/>
          <w:color w:val="000000"/>
          <w:sz w:val="24"/>
          <w:szCs w:val="24"/>
        </w:rPr>
        <w:t xml:space="preserve"> -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optimalizace</w:t>
      </w:r>
      <w:proofErr w:type="gram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systému logistiky či </w:t>
      </w:r>
      <w:proofErr w:type="spellStart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citylogistiky</w:t>
      </w:r>
      <w:proofErr w:type="spell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včetně využití nákladní železniční dopravy;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 xml:space="preserve">Zvýšení kvality života ve </w:t>
      </w:r>
      <w:proofErr w:type="gramStart"/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>městě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- rozvoj</w:t>
      </w:r>
      <w:proofErr w:type="gram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veřejných prostranství, snížení dopravní zátěže, optimalizace systému parkování, snížení negativních účinků dopravy (znečištění ovzduší, hladina hluku, spotřeba energie a další externality dopravy);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Ekonomický a společenský rozvoj města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– zajištění udržitelné dopravní infrastruktury pro územní rozvoj v oblasti bydlení a podnikání, snížení poptávky po individuální automobilové dopravě s využitím managementu mobility a zapojení velkých zaměstnavatelů;</w:t>
      </w:r>
    </w:p>
    <w:p w:rsidR="00F8138E" w:rsidRPr="00332050" w:rsidRDefault="00F8138E" w:rsidP="00F8138E">
      <w:pPr>
        <w:widowControl w:val="0"/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b/>
          <w:color w:val="000000"/>
          <w:sz w:val="24"/>
          <w:szCs w:val="24"/>
          <w:highlight w:val="cyan"/>
          <w:lang w:eastAsia="cs-CZ"/>
        </w:rPr>
        <w:t>Zlepšení image města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– zvýšení atraktivity města, potenciálu cestovního ruchu prostřednictvím managementu mobility </w:t>
      </w:r>
      <w:proofErr w:type="gramStart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-  zvýšení</w:t>
      </w:r>
      <w:proofErr w:type="gramEnd"/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kvality a rozšíření nabídky mobility, a kvalitní a široká propagace udržitelné dopravy a mobility.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6"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6"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6"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Předmět zakázky je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6"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Generel dopravy členěný na:</w:t>
      </w: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4" w:after="0" w:line="240" w:lineRule="auto"/>
        <w:ind w:right="-20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Generel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individuální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automobilové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dopravy a dopravy statické;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1" w:lineRule="exact"/>
        <w:ind w:right="-20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position w:val="1"/>
          <w:sz w:val="24"/>
          <w:szCs w:val="24"/>
          <w:lang w:eastAsia="cs-CZ"/>
        </w:rPr>
        <w:t>Generel</w:t>
      </w:r>
      <w:r w:rsidRPr="00332050">
        <w:rPr>
          <w:rFonts w:eastAsia="Times New Roman" w:cstheme="minorHAnsi"/>
          <w:b/>
          <w:spacing w:val="2"/>
          <w:position w:val="1"/>
          <w:sz w:val="24"/>
          <w:szCs w:val="24"/>
          <w:lang w:eastAsia="cs-CZ"/>
        </w:rPr>
        <w:t xml:space="preserve"> městské </w:t>
      </w:r>
      <w:r w:rsidRPr="00332050">
        <w:rPr>
          <w:rFonts w:eastAsia="Times New Roman" w:cstheme="minorHAnsi"/>
          <w:b/>
          <w:position w:val="1"/>
          <w:sz w:val="24"/>
          <w:szCs w:val="24"/>
          <w:lang w:eastAsia="cs-CZ"/>
        </w:rPr>
        <w:t>hromadné</w:t>
      </w:r>
      <w:r w:rsidRPr="00332050">
        <w:rPr>
          <w:rFonts w:eastAsia="Times New Roman" w:cstheme="minorHAnsi"/>
          <w:b/>
          <w:spacing w:val="2"/>
          <w:position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position w:val="1"/>
          <w:sz w:val="24"/>
          <w:szCs w:val="24"/>
          <w:lang w:eastAsia="cs-CZ"/>
        </w:rPr>
        <w:t>dopravy</w:t>
      </w:r>
      <w:r w:rsidRPr="00332050">
        <w:rPr>
          <w:rFonts w:eastAsia="Times New Roman" w:cstheme="minorHAnsi"/>
          <w:b/>
          <w:spacing w:val="2"/>
          <w:position w:val="1"/>
          <w:sz w:val="24"/>
          <w:szCs w:val="24"/>
          <w:lang w:eastAsia="cs-CZ"/>
        </w:rPr>
        <w:t xml:space="preserve"> ve vazbě na ostatní veřejnou hromadnou dopravu;</w:t>
      </w: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1" w:lineRule="exact"/>
        <w:ind w:right="-20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Generel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cyklistické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dopravy;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</w:t>
      </w: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1" w:lineRule="exact"/>
        <w:ind w:right="-20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Generel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pěší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dopra</w:t>
      </w:r>
      <w:r w:rsidRPr="00332050">
        <w:rPr>
          <w:rFonts w:eastAsia="Times New Roman" w:cstheme="minorHAnsi"/>
          <w:b/>
          <w:color w:val="000000"/>
          <w:spacing w:val="1"/>
          <w:position w:val="1"/>
          <w:sz w:val="24"/>
          <w:szCs w:val="24"/>
          <w:lang w:eastAsia="cs-CZ"/>
        </w:rPr>
        <w:t>v</w:t>
      </w:r>
      <w:r w:rsidRPr="00332050">
        <w:rPr>
          <w:rFonts w:eastAsia="Times New Roman" w:cstheme="minorHAnsi"/>
          <w:b/>
          <w:color w:val="000000"/>
          <w:position w:val="1"/>
          <w:sz w:val="24"/>
          <w:szCs w:val="24"/>
          <w:lang w:eastAsia="cs-CZ"/>
        </w:rPr>
        <w:t>y</w:t>
      </w:r>
      <w:r w:rsidRPr="00332050">
        <w:rPr>
          <w:rFonts w:eastAsia="Times New Roman" w:cstheme="minorHAnsi"/>
          <w:b/>
          <w:color w:val="000000"/>
          <w:spacing w:val="2"/>
          <w:position w:val="1"/>
          <w:sz w:val="24"/>
          <w:szCs w:val="24"/>
          <w:lang w:eastAsia="cs-CZ"/>
        </w:rPr>
        <w:t xml:space="preserve"> včetně osob s omezenou schopností pohybu nebo orientace.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before="11" w:after="0" w:line="200" w:lineRule="exact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Jednotlivé generely budou vypracovány v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> 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samostatných částech a projednány</w:t>
      </w:r>
      <w:r w:rsidRPr="00332050">
        <w:rPr>
          <w:rFonts w:eastAsia="Times New Roman" w:cstheme="minorHAnsi"/>
          <w:color w:val="000000"/>
          <w:spacing w:val="50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budou</w:t>
      </w:r>
      <w:r w:rsidRPr="00332050">
        <w:rPr>
          <w:rFonts w:eastAsia="Times New Roman" w:cstheme="minorHAnsi"/>
          <w:color w:val="000000"/>
          <w:spacing w:val="50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odděleně.</w:t>
      </w: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hlediska</w:t>
      </w:r>
      <w:r w:rsidRPr="00332050">
        <w:rPr>
          <w:rFonts w:eastAsia="Times New Roman" w:cstheme="minorHAnsi"/>
          <w:color w:val="000000"/>
          <w:spacing w:val="50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harmonogramu</w:t>
      </w:r>
      <w:r w:rsidRPr="00332050">
        <w:rPr>
          <w:rFonts w:eastAsia="Times New Roman" w:cstheme="minorHAnsi"/>
          <w:color w:val="000000"/>
          <w:spacing w:val="50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zpracování</w:t>
      </w:r>
      <w:r w:rsidRPr="00332050">
        <w:rPr>
          <w:rFonts w:eastAsia="Times New Roman" w:cstheme="minorHAnsi"/>
          <w:color w:val="000000"/>
          <w:spacing w:val="48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jsou generely jednotlivých druhů dopravy rozděleny</w:t>
      </w:r>
      <w:r w:rsidRPr="00332050">
        <w:rPr>
          <w:rFonts w:eastAsia="Times New Roman" w:cstheme="minorHAnsi"/>
          <w:color w:val="000000"/>
          <w:spacing w:val="5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</w:t>
      </w:r>
      <w:r w:rsidRPr="00332050">
        <w:rPr>
          <w:rFonts w:eastAsia="Times New Roman" w:cstheme="minorHAnsi"/>
          <w:color w:val="000000"/>
          <w:spacing w:val="5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části</w:t>
      </w:r>
      <w:r w:rsidRPr="00332050">
        <w:rPr>
          <w:rFonts w:eastAsia="Times New Roman" w:cstheme="minorHAnsi"/>
          <w:color w:val="000000"/>
          <w:spacing w:val="5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analytické</w:t>
      </w:r>
      <w:r w:rsidRPr="00332050">
        <w:rPr>
          <w:rFonts w:eastAsia="Times New Roman" w:cstheme="minorHAnsi"/>
          <w:color w:val="000000"/>
          <w:spacing w:val="5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54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</w:t>
      </w:r>
      <w:r w:rsidRPr="00332050">
        <w:rPr>
          <w:rFonts w:eastAsia="Times New Roman" w:cstheme="minorHAnsi"/>
          <w:color w:val="000000"/>
          <w:spacing w:val="5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části</w:t>
      </w:r>
      <w:r w:rsidRPr="00332050">
        <w:rPr>
          <w:rFonts w:eastAsia="Times New Roman" w:cstheme="minorHAnsi"/>
          <w:color w:val="000000"/>
          <w:spacing w:val="5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návrhové.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N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ávrhové části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jednotlivých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generelů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budou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vzájemně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koordinovány.</w:t>
      </w: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Samostatnou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částí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Generelu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dopravy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je:</w:t>
      </w:r>
    </w:p>
    <w:p w:rsidR="00244D2C" w:rsidRPr="00332050" w:rsidRDefault="00244D2C" w:rsidP="00244D2C">
      <w:pPr>
        <w:widowControl w:val="0"/>
        <w:tabs>
          <w:tab w:val="left" w:pos="2140"/>
          <w:tab w:val="left" w:pos="3380"/>
          <w:tab w:val="left" w:pos="4240"/>
          <w:tab w:val="left" w:pos="5860"/>
          <w:tab w:val="left" w:pos="7840"/>
          <w:tab w:val="left" w:pos="8060"/>
          <w:tab w:val="left" w:pos="8960"/>
        </w:tabs>
        <w:autoSpaceDE w:val="0"/>
        <w:autoSpaceDN w:val="0"/>
        <w:adjustRightInd w:val="0"/>
        <w:spacing w:after="0" w:line="228" w:lineRule="exact"/>
        <w:ind w:right="58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8" w:lineRule="exact"/>
        <w:ind w:right="59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sz w:val="24"/>
          <w:szCs w:val="24"/>
          <w:lang w:eastAsia="cs-CZ"/>
        </w:rPr>
        <w:t xml:space="preserve">Zpracování dopravně – sociologického průzkumu dopravně přepravního chování, 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jehož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cílem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je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zjištění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dělby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přepravní</w:t>
      </w:r>
      <w:r w:rsidRPr="00332050">
        <w:rPr>
          <w:rFonts w:eastAsia="Times New Roman" w:cstheme="minorHAnsi"/>
          <w:b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sz w:val="24"/>
          <w:szCs w:val="24"/>
          <w:lang w:eastAsia="cs-CZ"/>
        </w:rPr>
        <w:t>práce (</w:t>
      </w:r>
      <w:proofErr w:type="spellStart"/>
      <w:r w:rsidRPr="00332050">
        <w:rPr>
          <w:rFonts w:eastAsia="Times New Roman" w:cstheme="minorHAnsi"/>
          <w:b/>
          <w:sz w:val="24"/>
          <w:szCs w:val="24"/>
          <w:lang w:eastAsia="cs-CZ"/>
        </w:rPr>
        <w:t>modal</w:t>
      </w:r>
      <w:proofErr w:type="spellEnd"/>
      <w:r w:rsidRPr="00332050">
        <w:rPr>
          <w:rFonts w:eastAsia="Times New Roman" w:cstheme="minorHAnsi"/>
          <w:b/>
          <w:sz w:val="24"/>
          <w:szCs w:val="24"/>
          <w:lang w:eastAsia="cs-CZ"/>
        </w:rPr>
        <w:t xml:space="preserve"> split);</w:t>
      </w:r>
    </w:p>
    <w:p w:rsidR="00244D2C" w:rsidRPr="00332050" w:rsidRDefault="00244D2C" w:rsidP="00244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eastAsia="Times New Roman" w:cstheme="minorHAnsi"/>
          <w:b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Multimodální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dopravní</w:t>
      </w:r>
      <w:r w:rsidRPr="00332050">
        <w:rPr>
          <w:rFonts w:eastAsia="Times New Roman" w:cstheme="minorHAnsi"/>
          <w:b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color w:val="000000"/>
          <w:sz w:val="24"/>
          <w:szCs w:val="24"/>
          <w:lang w:eastAsia="cs-CZ"/>
        </w:rPr>
        <w:t>model.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Každá část generelu, kromě průzkumu a dopravního modelu, se bude skládat z části analytické a části návrhové.   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auto"/>
        <w:ind w:right="58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auto"/>
        <w:ind w:right="58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Cílem</w:t>
      </w:r>
      <w:r w:rsidRPr="00332050">
        <w:rPr>
          <w:rFonts w:eastAsia="Times New Roman" w:cstheme="minorHAnsi"/>
          <w:b/>
          <w:bCs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analytické</w:t>
      </w:r>
      <w:r w:rsidRPr="00332050">
        <w:rPr>
          <w:rFonts w:eastAsia="Times New Roman" w:cstheme="minorHAnsi"/>
          <w:b/>
          <w:bCs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části</w:t>
      </w:r>
      <w:r w:rsidRPr="00332050">
        <w:rPr>
          <w:rFonts w:eastAsia="Times New Roman" w:cstheme="minorHAnsi"/>
          <w:b/>
          <w:bCs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 zjištění stávajícího stavu dopravy</w:t>
      </w:r>
      <w:r w:rsidRPr="00332050">
        <w:rPr>
          <w:rFonts w:eastAsia="Times New Roman" w:cstheme="minorHAnsi"/>
          <w:color w:val="000000"/>
          <w:spacing w:val="6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mobility na území města,</w:t>
      </w:r>
      <w:r w:rsidRPr="00332050">
        <w:rPr>
          <w:rFonts w:eastAsia="Times New Roman" w:cstheme="minorHAnsi"/>
          <w:color w:val="000000"/>
          <w:spacing w:val="6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definování</w:t>
      </w:r>
      <w:r w:rsidRPr="00332050">
        <w:rPr>
          <w:rFonts w:eastAsia="Times New Roman" w:cstheme="minorHAnsi"/>
          <w:color w:val="000000"/>
          <w:spacing w:val="6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výchozího</w:t>
      </w:r>
      <w:r w:rsidRPr="00332050">
        <w:rPr>
          <w:rFonts w:eastAsia="Times New Roman" w:cstheme="minorHAnsi"/>
          <w:color w:val="000000"/>
          <w:spacing w:val="6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stavu</w:t>
      </w:r>
      <w:r w:rsidRPr="00332050">
        <w:rPr>
          <w:rFonts w:eastAsia="Times New Roman" w:cstheme="minorHAnsi"/>
          <w:color w:val="000000"/>
          <w:spacing w:val="6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vyjádřeného vstupními</w:t>
      </w:r>
      <w:r w:rsidRPr="00332050">
        <w:rPr>
          <w:rFonts w:eastAsia="Times New Roman" w:cstheme="minorHAnsi"/>
          <w:color w:val="000000"/>
          <w:spacing w:val="108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hodnotami</w:t>
      </w:r>
      <w:r w:rsidRPr="00332050">
        <w:rPr>
          <w:rFonts w:eastAsia="Times New Roman" w:cstheme="minorHAnsi"/>
          <w:color w:val="000000"/>
          <w:spacing w:val="10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indikátorů</w:t>
      </w:r>
      <w:r w:rsidRPr="00332050">
        <w:rPr>
          <w:rFonts w:eastAsia="Times New Roman" w:cstheme="minorHAnsi"/>
          <w:color w:val="000000"/>
          <w:spacing w:val="10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jednotlivých</w:t>
      </w:r>
      <w:r w:rsidRPr="00332050">
        <w:rPr>
          <w:rFonts w:eastAsia="Times New Roman" w:cstheme="minorHAnsi"/>
          <w:color w:val="000000"/>
          <w:spacing w:val="10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oblastech</w:t>
      </w:r>
      <w:r w:rsidRPr="00332050">
        <w:rPr>
          <w:rFonts w:eastAsia="Times New Roman" w:cstheme="minorHAnsi"/>
          <w:color w:val="000000"/>
          <w:spacing w:val="105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mobility. Budou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analyzovány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konkrétní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problémy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příležitosti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města v oblasti udržite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l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né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mobility (SWOT analýza), zpracovány prognózy s posouzením vývoje,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které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budou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projednány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klíčovými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partnery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veřejností.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20" w:lineRule="exact"/>
        <w:rPr>
          <w:rFonts w:eastAsia="Times New Roman" w:cstheme="minorHAnsi"/>
          <w:color w:val="000000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auto"/>
        <w:ind w:right="6"/>
        <w:jc w:val="both"/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auto"/>
        <w:ind w:right="6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lastRenderedPageBreak/>
        <w:t>Cíle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m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návrhov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é </w:t>
      </w:r>
      <w:r w:rsidRPr="00332050">
        <w:rPr>
          <w:rFonts w:eastAsia="Times New Roman" w:cstheme="minorHAnsi"/>
          <w:b/>
          <w:bCs/>
          <w:color w:val="000000"/>
          <w:spacing w:val="1"/>
          <w:sz w:val="24"/>
          <w:szCs w:val="24"/>
          <w:lang w:eastAsia="cs-CZ"/>
        </w:rPr>
        <w:t>část</w:t>
      </w:r>
      <w:r w:rsidRPr="00332050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i</w:t>
      </w:r>
      <w:r w:rsidRPr="00332050">
        <w:rPr>
          <w:rFonts w:eastAsia="Times New Roman" w:cstheme="minorHAnsi"/>
          <w:b/>
          <w:bCs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j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e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navržen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í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strategick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é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koncepc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e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rozvoj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e 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 xml:space="preserve">dopravy a mobility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ve</w:t>
      </w:r>
      <w:r w:rsidRPr="00332050">
        <w:rPr>
          <w:rFonts w:eastAsia="Times New Roman" w:cstheme="minorHAnsi"/>
          <w:color w:val="000000"/>
          <w:spacing w:val="1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městě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vazbou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na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spádové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území,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souladu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podmínka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m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i</w:t>
      </w:r>
      <w:r w:rsidRPr="00332050">
        <w:rPr>
          <w:rFonts w:eastAsia="Times New Roman" w:cstheme="minorHAnsi"/>
          <w:color w:val="000000"/>
          <w:spacing w:val="117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a potřebami</w:t>
      </w:r>
      <w:r w:rsidRPr="00332050">
        <w:rPr>
          <w:rFonts w:eastAsia="Times New Roman" w:cstheme="minorHAnsi"/>
          <w:color w:val="000000"/>
          <w:spacing w:val="2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územního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plánování.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Na základě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tvorby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scénářů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vývoje</w:t>
      </w:r>
      <w:r w:rsidRPr="00332050">
        <w:rPr>
          <w:rFonts w:eastAsia="Times New Roman" w:cstheme="minorHAnsi"/>
          <w:color w:val="000000"/>
          <w:spacing w:val="19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budou navržena konkrétní opatření pro odstranění problémů dopravního systému vyplývajících ze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závěru analytické části a stanoveny indikátory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dopadu,</w:t>
      </w:r>
      <w:r w:rsidRPr="00332050">
        <w:rPr>
          <w:rFonts w:eastAsia="Times New Roman" w:cstheme="minorHAnsi"/>
          <w:color w:val="000000"/>
          <w:spacing w:val="3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které budou měřítkem pro zajištění udrž</w:t>
      </w:r>
      <w:r w:rsidRPr="00332050">
        <w:rPr>
          <w:rFonts w:eastAsia="Times New Roman" w:cstheme="minorHAnsi"/>
          <w:color w:val="000000"/>
          <w:spacing w:val="1"/>
          <w:sz w:val="24"/>
          <w:szCs w:val="24"/>
          <w:lang w:eastAsia="cs-CZ"/>
        </w:rPr>
        <w:t>i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telného rozvoje</w:t>
      </w:r>
      <w:r w:rsidRPr="00332050">
        <w:rPr>
          <w:rFonts w:eastAsia="Times New Roman" w:cstheme="minorHAnsi"/>
          <w:color w:val="000000"/>
          <w:spacing w:val="2"/>
          <w:sz w:val="24"/>
          <w:szCs w:val="24"/>
          <w:lang w:eastAsia="cs-CZ"/>
        </w:rPr>
        <w:t xml:space="preserve"> </w:t>
      </w:r>
      <w:r w:rsidRPr="00332050">
        <w:rPr>
          <w:rFonts w:eastAsia="Times New Roman" w:cstheme="minorHAnsi"/>
          <w:color w:val="000000"/>
          <w:sz w:val="24"/>
          <w:szCs w:val="24"/>
          <w:lang w:eastAsia="cs-CZ"/>
        </w:rPr>
        <w:t>dopravy.</w:t>
      </w: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exact"/>
        <w:ind w:right="63"/>
        <w:jc w:val="both"/>
        <w:rPr>
          <w:rFonts w:eastAsia="Times New Roman" w:cstheme="minorHAnsi"/>
          <w:color w:val="000000"/>
          <w:position w:val="2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exact"/>
        <w:ind w:right="63"/>
        <w:jc w:val="both"/>
        <w:rPr>
          <w:rFonts w:eastAsia="Times New Roman" w:cstheme="minorHAnsi"/>
          <w:color w:val="000000"/>
          <w:position w:val="2"/>
          <w:sz w:val="24"/>
          <w:szCs w:val="24"/>
          <w:lang w:eastAsia="cs-CZ"/>
        </w:rPr>
      </w:pPr>
    </w:p>
    <w:p w:rsidR="00244D2C" w:rsidRPr="00332050" w:rsidRDefault="00244D2C" w:rsidP="00244D2C">
      <w:pPr>
        <w:widowControl w:val="0"/>
        <w:autoSpaceDE w:val="0"/>
        <w:autoSpaceDN w:val="0"/>
        <w:adjustRightInd w:val="0"/>
        <w:spacing w:after="0" w:line="230" w:lineRule="exact"/>
        <w:ind w:right="63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F8138E">
        <w:rPr>
          <w:rFonts w:eastAsia="Times New Roman" w:cstheme="minorHAnsi"/>
          <w:color w:val="000000"/>
          <w:sz w:val="24"/>
          <w:szCs w:val="24"/>
          <w:lang w:eastAsia="cs-CZ"/>
        </w:rPr>
        <w:t>Z hlediska časového bude návrh opatření proveden pro krátkodobý horizont 2021, pro výhledové období po roce 2030 a 2040 bude vyhodnocena a doplněna stávající koncepce dopravy a dopravních staveb pro účely územního plánování. Souhrn všech opatření včetně odhadu nákladů bude uveden v samostatném dokumentu. Všechna navržená opatření budou rozdělena do skupin dle ekonomické náročnosti na organizačně technická opatření, rekonstrukce stávající dopravní infrastruktury a nové investice do dopravní infrastruktury, popř. do vozidlového parku MHD.</w:t>
      </w:r>
    </w:p>
    <w:p w:rsidR="004F6A36" w:rsidRDefault="00800D29"/>
    <w:p w:rsidR="005151A2" w:rsidRPr="005151A2" w:rsidRDefault="005151A2">
      <w:pPr>
        <w:rPr>
          <w:rFonts w:eastAsia="Times New Roman" w:cstheme="minorHAnsi"/>
          <w:color w:val="000000"/>
          <w:spacing w:val="1"/>
          <w:position w:val="2"/>
          <w:sz w:val="24"/>
          <w:szCs w:val="24"/>
          <w:lang w:eastAsia="cs-CZ"/>
        </w:rPr>
      </w:pPr>
      <w:bookmarkStart w:id="0" w:name="_GoBack"/>
      <w:bookmarkEnd w:id="0"/>
    </w:p>
    <w:sectPr w:rsidR="005151A2" w:rsidRPr="00515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D29" w:rsidRDefault="00800D29" w:rsidP="00244D2C">
      <w:pPr>
        <w:spacing w:after="0" w:line="240" w:lineRule="auto"/>
      </w:pPr>
      <w:r>
        <w:separator/>
      </w:r>
    </w:p>
  </w:endnote>
  <w:endnote w:type="continuationSeparator" w:id="0">
    <w:p w:rsidR="00800D29" w:rsidRDefault="00800D29" w:rsidP="0024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D29" w:rsidRDefault="00800D29" w:rsidP="00244D2C">
      <w:pPr>
        <w:spacing w:after="0" w:line="240" w:lineRule="auto"/>
      </w:pPr>
      <w:r>
        <w:separator/>
      </w:r>
    </w:p>
  </w:footnote>
  <w:footnote w:type="continuationSeparator" w:id="0">
    <w:p w:rsidR="00800D29" w:rsidRDefault="00800D29" w:rsidP="00244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56106"/>
    <w:multiLevelType w:val="hybridMultilevel"/>
    <w:tmpl w:val="E59EA12A"/>
    <w:lvl w:ilvl="0" w:tplc="748CB7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2C"/>
    <w:rsid w:val="00092C9D"/>
    <w:rsid w:val="00244D2C"/>
    <w:rsid w:val="005151A2"/>
    <w:rsid w:val="007401D2"/>
    <w:rsid w:val="00800D29"/>
    <w:rsid w:val="008414CB"/>
    <w:rsid w:val="00CB1FBE"/>
    <w:rsid w:val="00D73A8A"/>
    <w:rsid w:val="00F8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7BF0"/>
  <w15:chartTrackingRefBased/>
  <w15:docId w15:val="{6CC6433E-0E6D-4858-BC80-00F30073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D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4D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4D2C"/>
  </w:style>
  <w:style w:type="paragraph" w:styleId="Zpat">
    <w:name w:val="footer"/>
    <w:basedOn w:val="Normln"/>
    <w:link w:val="ZpatChar"/>
    <w:uiPriority w:val="99"/>
    <w:unhideWhenUsed/>
    <w:rsid w:val="0024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4D2C"/>
  </w:style>
  <w:style w:type="paragraph" w:styleId="Textbubliny">
    <w:name w:val="Balloon Text"/>
    <w:basedOn w:val="Normln"/>
    <w:link w:val="TextbublinyChar"/>
    <w:uiPriority w:val="99"/>
    <w:semiHidden/>
    <w:unhideWhenUsed/>
    <w:rsid w:val="00515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983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Kučerová</dc:creator>
  <cp:keywords/>
  <dc:description/>
  <cp:lastModifiedBy>Veronika Kučerová</cp:lastModifiedBy>
  <cp:revision>3</cp:revision>
  <dcterms:created xsi:type="dcterms:W3CDTF">2020-02-18T10:30:00Z</dcterms:created>
  <dcterms:modified xsi:type="dcterms:W3CDTF">2020-02-19T12:04:00Z</dcterms:modified>
</cp:coreProperties>
</file>